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D720" w14:textId="65CD9C0D" w:rsidR="003331A9" w:rsidRPr="003331A9" w:rsidRDefault="003331A9" w:rsidP="003331A9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en-ID"/>
        </w:rPr>
      </w:pPr>
      <w:r w:rsidRPr="003331A9">
        <w:rPr>
          <w:rFonts w:eastAsia="Times New Roman" w:cstheme="minorHAnsi"/>
          <w:b/>
          <w:bCs/>
          <w:color w:val="000000"/>
          <w:sz w:val="26"/>
          <w:szCs w:val="26"/>
          <w:lang w:eastAsia="en-ID"/>
        </w:rPr>
        <w:t>Analisa</w:t>
      </w:r>
      <w:r>
        <w:rPr>
          <w:rFonts w:eastAsia="Times New Roman" w:cstheme="minorHAnsi"/>
          <w:b/>
          <w:bCs/>
          <w:color w:val="000000"/>
          <w:sz w:val="26"/>
          <w:szCs w:val="26"/>
          <w:lang w:eastAsia="en-ID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6"/>
          <w:szCs w:val="26"/>
          <w:lang w:eastAsia="en-ID"/>
        </w:rPr>
        <w:t>Kuesioner</w:t>
      </w:r>
      <w:proofErr w:type="spellEnd"/>
      <w:r w:rsidRPr="003331A9">
        <w:rPr>
          <w:rFonts w:eastAsia="Times New Roman" w:cstheme="minorHAnsi"/>
          <w:b/>
          <w:bCs/>
          <w:color w:val="000000"/>
          <w:sz w:val="26"/>
          <w:szCs w:val="26"/>
          <w:lang w:eastAsia="en-ID"/>
        </w:rPr>
        <w:t xml:space="preserve"> </w:t>
      </w:r>
      <w:proofErr w:type="spellStart"/>
      <w:r w:rsidRPr="003331A9">
        <w:rPr>
          <w:rFonts w:eastAsia="Times New Roman" w:cstheme="minorHAnsi"/>
          <w:b/>
          <w:bCs/>
          <w:color w:val="000000"/>
          <w:sz w:val="26"/>
          <w:szCs w:val="26"/>
          <w:lang w:eastAsia="en-ID"/>
        </w:rPr>
        <w:t>Kepuasan</w:t>
      </w:r>
      <w:proofErr w:type="spellEnd"/>
      <w:r w:rsidRPr="003331A9">
        <w:rPr>
          <w:rFonts w:eastAsia="Times New Roman" w:cstheme="minorHAnsi"/>
          <w:b/>
          <w:bCs/>
          <w:color w:val="000000"/>
          <w:sz w:val="26"/>
          <w:szCs w:val="26"/>
          <w:lang w:eastAsia="en-ID"/>
        </w:rPr>
        <w:t xml:space="preserve"> Sarana dan </w:t>
      </w:r>
      <w:proofErr w:type="spellStart"/>
      <w:r w:rsidRPr="003331A9">
        <w:rPr>
          <w:rFonts w:eastAsia="Times New Roman" w:cstheme="minorHAnsi"/>
          <w:b/>
          <w:bCs/>
          <w:color w:val="000000"/>
          <w:sz w:val="26"/>
          <w:szCs w:val="26"/>
          <w:lang w:eastAsia="en-ID"/>
        </w:rPr>
        <w:t>Prasarana</w:t>
      </w:r>
      <w:proofErr w:type="spellEnd"/>
    </w:p>
    <w:p w14:paraId="142BFC33" w14:textId="1943E27B" w:rsidR="006D5B7F" w:rsidRPr="003331A9" w:rsidRDefault="006D5B7F" w:rsidP="003331A9">
      <w:pPr>
        <w:spacing w:after="120" w:line="240" w:lineRule="auto"/>
        <w:ind w:firstLine="720"/>
        <w:jc w:val="both"/>
      </w:pPr>
      <w:r w:rsidRPr="006D5B7F">
        <w:rPr>
          <w:rFonts w:eastAsia="Times New Roman" w:cstheme="minorHAnsi"/>
          <w:color w:val="000000"/>
          <w:lang w:eastAsia="en-ID"/>
        </w:rPr>
        <w:t>P</w:t>
      </w:r>
      <w:r>
        <w:rPr>
          <w:rFonts w:eastAsia="Times New Roman" w:cstheme="minorHAnsi"/>
          <w:color w:val="000000"/>
          <w:lang w:eastAsia="en-ID"/>
        </w:rPr>
        <w:t xml:space="preserve">roses </w:t>
      </w:r>
      <w:proofErr w:type="spellStart"/>
      <w:r>
        <w:rPr>
          <w:rFonts w:eastAsia="Times New Roman" w:cstheme="minorHAnsi"/>
          <w:color w:val="000000"/>
          <w:lang w:eastAsia="en-ID"/>
        </w:rPr>
        <w:t>evaluasi</w:t>
      </w:r>
      <w:proofErr w:type="spellEnd"/>
      <w:r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Pr="003331A9">
        <w:t>mengenai</w:t>
      </w:r>
      <w:proofErr w:type="spellEnd"/>
      <w:r w:rsidRPr="003331A9">
        <w:t xml:space="preserve"> </w:t>
      </w:r>
      <w:proofErr w:type="spellStart"/>
      <w:r w:rsidRPr="003331A9">
        <w:t>kepuasan</w:t>
      </w:r>
      <w:proofErr w:type="spellEnd"/>
      <w:r w:rsidRPr="003331A9">
        <w:t xml:space="preserve"> </w:t>
      </w:r>
      <w:proofErr w:type="spellStart"/>
      <w:r w:rsidRPr="003331A9">
        <w:t>sivitas</w:t>
      </w:r>
      <w:proofErr w:type="spellEnd"/>
      <w:r w:rsidRPr="003331A9">
        <w:t xml:space="preserve"> </w:t>
      </w:r>
      <w:proofErr w:type="spellStart"/>
      <w:r w:rsidRPr="003331A9">
        <w:t>akademika</w:t>
      </w:r>
      <w:proofErr w:type="spellEnd"/>
      <w:r w:rsidRPr="003331A9">
        <w:t xml:space="preserve"> </w:t>
      </w:r>
      <w:proofErr w:type="spellStart"/>
      <w:r w:rsidRPr="003331A9">
        <w:t>mengenai</w:t>
      </w:r>
      <w:proofErr w:type="spellEnd"/>
      <w:r w:rsidRPr="003331A9">
        <w:t xml:space="preserve"> </w:t>
      </w:r>
      <w:proofErr w:type="spellStart"/>
      <w:r w:rsidRPr="003331A9">
        <w:t>layanan</w:t>
      </w:r>
      <w:proofErr w:type="spellEnd"/>
      <w:r w:rsidRPr="003331A9">
        <w:t xml:space="preserve"> </w:t>
      </w:r>
      <w:proofErr w:type="spellStart"/>
      <w:r w:rsidRPr="003331A9">
        <w:t>pengelolaan</w:t>
      </w:r>
      <w:proofErr w:type="spellEnd"/>
      <w:r w:rsidRPr="003331A9">
        <w:t xml:space="preserve"> </w:t>
      </w:r>
      <w:proofErr w:type="spellStart"/>
      <w:r w:rsidRPr="003331A9">
        <w:t>keuangan</w:t>
      </w:r>
      <w:proofErr w:type="spellEnd"/>
      <w:r w:rsidRPr="003331A9">
        <w:t xml:space="preserve"> </w:t>
      </w:r>
      <w:proofErr w:type="spellStart"/>
      <w:r w:rsidRPr="003331A9">
        <w:t>maupun</w:t>
      </w:r>
      <w:proofErr w:type="spellEnd"/>
      <w:r w:rsidRPr="003331A9">
        <w:t xml:space="preserve"> </w:t>
      </w:r>
      <w:proofErr w:type="spellStart"/>
      <w:r w:rsidRPr="003331A9">
        <w:t>sarana</w:t>
      </w:r>
      <w:proofErr w:type="spellEnd"/>
      <w:r w:rsidRPr="003331A9">
        <w:t xml:space="preserve"> dan </w:t>
      </w:r>
      <w:proofErr w:type="spellStart"/>
      <w:r w:rsidRPr="003331A9">
        <w:t>prasaran</w:t>
      </w:r>
      <w:proofErr w:type="spellEnd"/>
      <w:r w:rsidRPr="003331A9">
        <w:t xml:space="preserve"> </w:t>
      </w:r>
      <w:proofErr w:type="spellStart"/>
      <w:r w:rsidRPr="003331A9">
        <w:t>dilakukan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melalui</w:t>
      </w:r>
      <w:proofErr w:type="spellEnd"/>
      <w:r w:rsidRPr="006D5B7F">
        <w:rPr>
          <w:lang w:eastAsia="en-ID"/>
        </w:rPr>
        <w:t xml:space="preserve"> SPM PNP </w:t>
      </w:r>
      <w:proofErr w:type="spellStart"/>
      <w:r w:rsidRPr="006D5B7F">
        <w:rPr>
          <w:lang w:eastAsia="en-ID"/>
        </w:rPr>
        <w:t>telah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melakukan</w:t>
      </w:r>
      <w:proofErr w:type="spellEnd"/>
      <w:r w:rsidRPr="006D5B7F">
        <w:rPr>
          <w:lang w:eastAsia="en-ID"/>
        </w:rPr>
        <w:t xml:space="preserve"> survey </w:t>
      </w:r>
      <w:proofErr w:type="spellStart"/>
      <w:r w:rsidRPr="006D5B7F">
        <w:rPr>
          <w:lang w:eastAsia="en-ID"/>
        </w:rPr>
        <w:t>rutin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setiap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tahunnya</w:t>
      </w:r>
      <w:proofErr w:type="spellEnd"/>
      <w:r w:rsidRPr="003331A9">
        <w:t xml:space="preserve">. </w:t>
      </w:r>
      <w:r w:rsidRPr="006D5B7F">
        <w:rPr>
          <w:lang w:eastAsia="en-ID"/>
        </w:rPr>
        <w:t xml:space="preserve">Hasil </w:t>
      </w:r>
      <w:proofErr w:type="spellStart"/>
      <w:r w:rsidRPr="006D5B7F">
        <w:rPr>
          <w:lang w:eastAsia="en-ID"/>
        </w:rPr>
        <w:t>dari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kuesioner</w:t>
      </w:r>
      <w:proofErr w:type="spellEnd"/>
      <w:r w:rsidR="003331A9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tersebut</w:t>
      </w:r>
      <w:proofErr w:type="spellEnd"/>
      <w:r w:rsidR="003331A9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dianalisis</w:t>
      </w:r>
      <w:proofErr w:type="spellEnd"/>
      <w:r w:rsidRPr="006D5B7F">
        <w:rPr>
          <w:lang w:eastAsia="en-ID"/>
        </w:rPr>
        <w:t xml:space="preserve"> dan </w:t>
      </w:r>
      <w:proofErr w:type="spellStart"/>
      <w:r w:rsidRPr="006D5B7F">
        <w:rPr>
          <w:lang w:eastAsia="en-ID"/>
        </w:rPr>
        <w:t>ditindak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lanjuti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guna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meningkatkan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kepuasan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sivitas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akademika</w:t>
      </w:r>
      <w:proofErr w:type="spellEnd"/>
      <w:r w:rsidR="003331A9" w:rsidRPr="003331A9">
        <w:t xml:space="preserve">. </w:t>
      </w:r>
      <w:r w:rsidRPr="006D5B7F">
        <w:rPr>
          <w:lang w:eastAsia="en-ID"/>
        </w:rPr>
        <w:t xml:space="preserve">Hasil </w:t>
      </w:r>
      <w:proofErr w:type="spellStart"/>
      <w:r w:rsidRPr="006D5B7F">
        <w:rPr>
          <w:lang w:eastAsia="en-ID"/>
        </w:rPr>
        <w:t>pengukuran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kepuasan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sivitas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akademika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terhadap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pengelolaan</w:t>
      </w:r>
      <w:proofErr w:type="spellEnd"/>
      <w:r w:rsidRPr="003331A9">
        <w:t xml:space="preserve"> </w:t>
      </w:r>
      <w:proofErr w:type="spellStart"/>
      <w:r w:rsidRPr="006D5B7F">
        <w:rPr>
          <w:lang w:eastAsia="en-ID"/>
        </w:rPr>
        <w:t>keuangan</w:t>
      </w:r>
      <w:proofErr w:type="spellEnd"/>
      <w:r w:rsidRPr="006D5B7F">
        <w:rPr>
          <w:lang w:eastAsia="en-ID"/>
        </w:rPr>
        <w:t xml:space="preserve">, </w:t>
      </w:r>
      <w:proofErr w:type="spellStart"/>
      <w:r w:rsidRPr="006D5B7F">
        <w:rPr>
          <w:lang w:eastAsia="en-ID"/>
        </w:rPr>
        <w:t>sarana</w:t>
      </w:r>
      <w:proofErr w:type="spellEnd"/>
      <w:r w:rsidRPr="006D5B7F">
        <w:rPr>
          <w:lang w:eastAsia="en-ID"/>
        </w:rPr>
        <w:t xml:space="preserve">, dan </w:t>
      </w:r>
      <w:proofErr w:type="spellStart"/>
      <w:r w:rsidRPr="006D5B7F">
        <w:rPr>
          <w:lang w:eastAsia="en-ID"/>
        </w:rPr>
        <w:t>prasarana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dirangkum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sebagai</w:t>
      </w:r>
      <w:proofErr w:type="spellEnd"/>
      <w:r w:rsidRPr="006D5B7F">
        <w:rPr>
          <w:lang w:eastAsia="en-ID"/>
        </w:rPr>
        <w:t xml:space="preserve"> </w:t>
      </w:r>
      <w:proofErr w:type="spellStart"/>
      <w:r w:rsidRPr="006D5B7F">
        <w:rPr>
          <w:lang w:eastAsia="en-ID"/>
        </w:rPr>
        <w:t>berikut</w:t>
      </w:r>
      <w:proofErr w:type="spellEnd"/>
      <w:r w:rsidRPr="006D5B7F">
        <w:rPr>
          <w:lang w:eastAsia="en-ID"/>
        </w:rPr>
        <w:t>:</w:t>
      </w:r>
    </w:p>
    <w:p w14:paraId="0A6114E3" w14:textId="147CD60A" w:rsidR="006D5B7F" w:rsidRPr="006D5B7F" w:rsidRDefault="006D5B7F" w:rsidP="00550D69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en-ID"/>
        </w:rPr>
      </w:pPr>
      <w:proofErr w:type="spellStart"/>
      <w:r w:rsidRPr="006D5B7F">
        <w:rPr>
          <w:rFonts w:eastAsia="Times New Roman" w:cstheme="minorHAnsi"/>
          <w:color w:val="000000"/>
          <w:sz w:val="20"/>
          <w:szCs w:val="20"/>
          <w:lang w:eastAsia="en-ID"/>
        </w:rPr>
        <w:t>Tabel</w:t>
      </w:r>
      <w:proofErr w:type="spellEnd"/>
      <w:r w:rsidRPr="006D5B7F">
        <w:rPr>
          <w:rFonts w:eastAsia="Times New Roman" w:cstheme="minorHAnsi"/>
          <w:color w:val="000000"/>
          <w:sz w:val="20"/>
          <w:szCs w:val="20"/>
          <w:lang w:eastAsia="en-ID"/>
        </w:rPr>
        <w:t xml:space="preserve"> 1 </w:t>
      </w:r>
      <w:proofErr w:type="spellStart"/>
      <w:r w:rsidRPr="006D5B7F">
        <w:rPr>
          <w:rFonts w:eastAsia="Times New Roman" w:cstheme="minorHAnsi"/>
          <w:color w:val="000000"/>
          <w:sz w:val="20"/>
          <w:szCs w:val="20"/>
          <w:lang w:eastAsia="en-ID"/>
        </w:rPr>
        <w:t>Pertanyaan</w:t>
      </w:r>
      <w:proofErr w:type="spellEnd"/>
      <w:r w:rsidRPr="006D5B7F">
        <w:rPr>
          <w:rFonts w:eastAsia="Times New Roman" w:cstheme="minorHAnsi"/>
          <w:color w:val="000000"/>
          <w:sz w:val="20"/>
          <w:szCs w:val="20"/>
          <w:lang w:eastAsia="en-ID"/>
        </w:rPr>
        <w:t xml:space="preserve"> </w:t>
      </w:r>
      <w:proofErr w:type="spellStart"/>
      <w:r w:rsidRPr="006D5B7F">
        <w:rPr>
          <w:rFonts w:eastAsia="Times New Roman" w:cstheme="minorHAnsi"/>
          <w:color w:val="000000"/>
          <w:sz w:val="20"/>
          <w:szCs w:val="20"/>
          <w:lang w:eastAsia="en-ID"/>
        </w:rPr>
        <w:t>Aspek</w:t>
      </w:r>
      <w:proofErr w:type="spellEnd"/>
      <w:r w:rsidRPr="006D5B7F">
        <w:rPr>
          <w:rFonts w:eastAsia="Times New Roman" w:cstheme="minorHAnsi"/>
          <w:color w:val="000000"/>
          <w:sz w:val="20"/>
          <w:szCs w:val="20"/>
          <w:lang w:eastAsia="en-ID"/>
        </w:rPr>
        <w:t xml:space="preserve"> </w:t>
      </w:r>
      <w:proofErr w:type="spellStart"/>
      <w:r w:rsidRPr="006D5B7F">
        <w:rPr>
          <w:rFonts w:eastAsia="Times New Roman" w:cstheme="minorHAnsi"/>
          <w:color w:val="000000"/>
          <w:sz w:val="20"/>
          <w:szCs w:val="20"/>
          <w:lang w:eastAsia="en-ID"/>
        </w:rPr>
        <w:t>Pengukuran</w:t>
      </w:r>
      <w:proofErr w:type="spellEnd"/>
      <w:r w:rsidRPr="006D5B7F">
        <w:rPr>
          <w:rFonts w:eastAsia="Times New Roman" w:cstheme="minorHAnsi"/>
          <w:color w:val="000000"/>
          <w:sz w:val="20"/>
          <w:szCs w:val="20"/>
          <w:lang w:eastAsia="en-ID"/>
        </w:rPr>
        <w:t xml:space="preserve"> </w:t>
      </w:r>
      <w:proofErr w:type="spellStart"/>
      <w:r w:rsidRPr="006D5B7F">
        <w:rPr>
          <w:rFonts w:eastAsia="Times New Roman" w:cstheme="minorHAnsi"/>
          <w:color w:val="000000"/>
          <w:sz w:val="20"/>
          <w:szCs w:val="20"/>
          <w:lang w:eastAsia="en-ID"/>
        </w:rPr>
        <w:t>Kepuasaan</w:t>
      </w:r>
      <w:proofErr w:type="spellEnd"/>
      <w:r w:rsidRPr="006D5B7F">
        <w:rPr>
          <w:rFonts w:eastAsia="Times New Roman" w:cstheme="minorHAnsi"/>
          <w:color w:val="000000"/>
          <w:sz w:val="20"/>
          <w:szCs w:val="20"/>
          <w:lang w:eastAsia="en-ID"/>
        </w:rPr>
        <w:t xml:space="preserve"> </w:t>
      </w:r>
      <w:proofErr w:type="spellStart"/>
      <w:r w:rsidRPr="006D5B7F">
        <w:rPr>
          <w:rFonts w:eastAsia="Times New Roman" w:cstheme="minorHAnsi"/>
          <w:color w:val="000000"/>
          <w:sz w:val="20"/>
          <w:szCs w:val="20"/>
          <w:lang w:eastAsia="en-ID"/>
        </w:rPr>
        <w:t>Pengguna</w:t>
      </w:r>
      <w:proofErr w:type="spellEnd"/>
      <w:r w:rsidRPr="006D5B7F">
        <w:rPr>
          <w:rFonts w:eastAsia="Times New Roman" w:cstheme="minorHAnsi"/>
          <w:color w:val="000000"/>
          <w:sz w:val="20"/>
          <w:szCs w:val="20"/>
          <w:lang w:eastAsia="en-ID"/>
        </w:rPr>
        <w:t xml:space="preserve"> </w:t>
      </w:r>
      <w:proofErr w:type="spellStart"/>
      <w:r w:rsidRPr="006D5B7F">
        <w:rPr>
          <w:rFonts w:eastAsia="Times New Roman" w:cstheme="minorHAnsi"/>
          <w:color w:val="000000"/>
          <w:sz w:val="20"/>
          <w:szCs w:val="20"/>
          <w:lang w:eastAsia="en-ID"/>
        </w:rPr>
        <w:t>Keuangan</w:t>
      </w:r>
      <w:proofErr w:type="spellEnd"/>
      <w:r w:rsidRPr="006D5B7F">
        <w:rPr>
          <w:rFonts w:eastAsia="Times New Roman" w:cstheme="minorHAnsi"/>
          <w:color w:val="000000"/>
          <w:sz w:val="20"/>
          <w:szCs w:val="20"/>
          <w:lang w:eastAsia="en-ID"/>
        </w:rPr>
        <w:t xml:space="preserve">, Sarana dan </w:t>
      </w:r>
      <w:proofErr w:type="spellStart"/>
      <w:r w:rsidRPr="006D5B7F">
        <w:rPr>
          <w:rFonts w:eastAsia="Times New Roman" w:cstheme="minorHAnsi"/>
          <w:color w:val="000000"/>
          <w:sz w:val="20"/>
          <w:szCs w:val="20"/>
          <w:lang w:eastAsia="en-ID"/>
        </w:rPr>
        <w:t>Prasarana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654"/>
        <w:gridCol w:w="1021"/>
        <w:gridCol w:w="994"/>
        <w:gridCol w:w="849"/>
        <w:gridCol w:w="941"/>
      </w:tblGrid>
      <w:tr w:rsidR="00174E5E" w14:paraId="68B62AEB" w14:textId="77777777" w:rsidTr="00550D69">
        <w:trPr>
          <w:trHeight w:val="30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EC72B" w14:textId="3F634E7D" w:rsidR="00174E5E" w:rsidRPr="00174E5E" w:rsidRDefault="00174E5E" w:rsidP="00174E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4E5E">
              <w:rPr>
                <w:rFonts w:ascii="Calibri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25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B9D21" w14:textId="6108DB7F" w:rsidR="00174E5E" w:rsidRPr="00174E5E" w:rsidRDefault="00174E5E" w:rsidP="00174E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Aspek</w:t>
            </w:r>
            <w:proofErr w:type="spellEnd"/>
            <w:r w:rsidRPr="00174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74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diukur</w:t>
            </w:r>
            <w:proofErr w:type="spellEnd"/>
          </w:p>
        </w:tc>
        <w:tc>
          <w:tcPr>
            <w:tcW w:w="2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E7EDF" w14:textId="23A52E67" w:rsidR="00174E5E" w:rsidRPr="00174E5E" w:rsidRDefault="00174E5E" w:rsidP="00174E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4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Tingkat </w:t>
            </w:r>
            <w:proofErr w:type="spellStart"/>
            <w:r w:rsidRPr="00174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Kepuasan</w:t>
            </w:r>
            <w:proofErr w:type="spellEnd"/>
            <w:r w:rsidRPr="00174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4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Pengguna</w:t>
            </w:r>
            <w:proofErr w:type="spellEnd"/>
          </w:p>
        </w:tc>
      </w:tr>
      <w:tr w:rsidR="00550D69" w14:paraId="4999EE72" w14:textId="77777777" w:rsidTr="00550D69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452FB" w14:textId="3793E274" w:rsidR="00174E5E" w:rsidRPr="00174E5E" w:rsidRDefault="00174E5E" w:rsidP="00174E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02514" w14:textId="12FF23B0" w:rsidR="00174E5E" w:rsidRPr="00174E5E" w:rsidRDefault="00174E5E" w:rsidP="00174E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B2518" w14:textId="77777777" w:rsidR="00174E5E" w:rsidRPr="00174E5E" w:rsidRDefault="00174E5E" w:rsidP="00174E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174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4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Puas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ABF5E" w14:textId="77777777" w:rsidR="00174E5E" w:rsidRPr="00174E5E" w:rsidRDefault="00174E5E" w:rsidP="00174E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Cukup</w:t>
            </w:r>
            <w:proofErr w:type="spellEnd"/>
            <w:r w:rsidRPr="00174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4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Puas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C6C15" w14:textId="77777777" w:rsidR="00174E5E" w:rsidRPr="00174E5E" w:rsidRDefault="00174E5E" w:rsidP="00174E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Puas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B1E65" w14:textId="77777777" w:rsidR="00174E5E" w:rsidRPr="00174E5E" w:rsidRDefault="00174E5E" w:rsidP="00174E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4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Sangat </w:t>
            </w:r>
            <w:proofErr w:type="spellStart"/>
            <w:r w:rsidRPr="00174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Puas</w:t>
            </w:r>
            <w:proofErr w:type="spellEnd"/>
          </w:p>
        </w:tc>
      </w:tr>
      <w:tr w:rsidR="00550D69" w14:paraId="0B342157" w14:textId="77777777" w:rsidTr="00550D69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D5884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99645" w14:textId="77777777" w:rsidR="00174E5E" w:rsidRDefault="00174E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Kejelasan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kemudahan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prosedur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keuangan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6B880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0BB67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21B08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40015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</w:tr>
      <w:tr w:rsidR="00550D69" w14:paraId="4CB77B7E" w14:textId="77777777" w:rsidTr="00550D69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FB5CF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EB0AD" w14:textId="77777777" w:rsidR="00174E5E" w:rsidRDefault="00174E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Ketepatwaktuan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pembayaran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keuangan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C9498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D6A74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9B8CF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3C0C8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</w:tr>
      <w:tr w:rsidR="00550D69" w14:paraId="5DE8036E" w14:textId="77777777" w:rsidTr="00550D69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96B83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E5928" w14:textId="77777777" w:rsidR="00174E5E" w:rsidRDefault="00174E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Kecepatan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tindak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lanjut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keluhan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terkait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prosedur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keuagan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F21D4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1BB1A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39C4E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0173C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550D69" w14:paraId="6989144B" w14:textId="77777777" w:rsidTr="00550D69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87A5D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B0EBD" w14:textId="77777777" w:rsidR="00174E5E" w:rsidRDefault="00174E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Ketersediaan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kelas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nyaman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bersih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rapi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1310A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3384E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3E2D9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288DB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</w:tr>
      <w:tr w:rsidR="00550D69" w14:paraId="5CED1997" w14:textId="77777777" w:rsidTr="00550D69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C802D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E0CA7" w14:textId="77777777" w:rsidR="00174E5E" w:rsidRDefault="00174E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Ketersediaan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laboratorium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nyaman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bersih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rapi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80F06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54766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0F550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FCF35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</w:tr>
      <w:tr w:rsidR="00550D69" w14:paraId="116FB456" w14:textId="77777777" w:rsidTr="00550D69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BA115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F5355" w14:textId="77777777" w:rsidR="00174E5E" w:rsidRDefault="00174E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Ketersediaan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fasilitas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kantor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memadai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CC043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8C91E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86AA1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F5729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</w:tr>
      <w:tr w:rsidR="00550D69" w14:paraId="3F6F19D7" w14:textId="77777777" w:rsidTr="00550D69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60536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2A469" w14:textId="77777777" w:rsidR="00174E5E" w:rsidRDefault="00174E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Ketersediaan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fasilitas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umum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memadai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tempat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ibadah, toilet, area </w:t>
            </w:r>
            <w:proofErr w:type="spellStart"/>
            <w:r>
              <w:rPr>
                <w:rFonts w:ascii="Calibri" w:hAnsi="Calibri" w:cs="Calibri"/>
                <w:color w:val="000000"/>
              </w:rPr>
              <w:t>parikr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akses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internet)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A2809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EBD95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BCE94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0C83F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</w:tr>
      <w:tr w:rsidR="00550D69" w14:paraId="7AFCD6AD" w14:textId="77777777" w:rsidTr="00550D69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F17D0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13DB6" w14:textId="77777777" w:rsidR="00174E5E" w:rsidRDefault="00174E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Ketersediaan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referensi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terkini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memadai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menunjang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proses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penelitian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pengabdian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93CF8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4C55E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487BB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7EFF2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</w:tr>
      <w:tr w:rsidR="00550D69" w14:paraId="4FF8F0CF" w14:textId="77777777" w:rsidTr="00550D69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49ACA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31F9C" w14:textId="77777777" w:rsidR="00174E5E" w:rsidRDefault="00174E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Kenyamanan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fasilitas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perpustakaan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0708C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92A3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840A5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4D414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</w:tr>
      <w:tr w:rsidR="00550D69" w14:paraId="33304C66" w14:textId="77777777" w:rsidTr="00550D69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B2478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2DF52" w14:textId="77777777" w:rsidR="00174E5E" w:rsidRDefault="00174E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Kemudahan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kelancaran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informasi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Siakad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sipeg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simpediakat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simawa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sihereg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sireg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siak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wisuda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E0A75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3F0CA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93765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F882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</w:tr>
      <w:tr w:rsidR="00550D69" w14:paraId="695EDC66" w14:textId="77777777" w:rsidTr="00550D69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FAF3B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263E5" w14:textId="77777777" w:rsidR="00174E5E" w:rsidRDefault="00174E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Ketersediaan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sarana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prasarana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pendukung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kegiatan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penelitian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F0C87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063B1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D7688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93B91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</w:tr>
      <w:tr w:rsidR="00550D69" w14:paraId="0C0B2466" w14:textId="77777777" w:rsidTr="00550D69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A3421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ED897" w14:textId="77777777" w:rsidR="00174E5E" w:rsidRDefault="00174E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Ketersediaan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sarana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prasarana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pendukung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kegiatan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pengabdian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kepada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masyarakat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7E368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C02B7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12316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BDF88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</w:tr>
      <w:tr w:rsidR="00550D69" w14:paraId="5D71AF1A" w14:textId="77777777" w:rsidTr="00550D69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0152E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93B10" w14:textId="77777777" w:rsidR="00174E5E" w:rsidRDefault="00174E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Ketersediaan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fasilitas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kesehatan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memadai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94E1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3AD4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CAE9C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3571D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</w:tr>
      <w:tr w:rsidR="00550D69" w14:paraId="66A7D79A" w14:textId="77777777" w:rsidTr="00550D69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76D4B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8CD88" w14:textId="77777777" w:rsidR="00174E5E" w:rsidRDefault="00174E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Kecepatan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tindak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lanjut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keluhan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terkait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sarana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prasarana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1BAD7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99B2E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2FBB7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F8AAD" w14:textId="77777777" w:rsidR="00174E5E" w:rsidRDefault="00174E5E" w:rsidP="00174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</w:tr>
    </w:tbl>
    <w:p w14:paraId="78C1B258" w14:textId="2806E060" w:rsidR="006D5B7F" w:rsidRDefault="006D5B7F" w:rsidP="006D5B7F">
      <w:pPr>
        <w:jc w:val="both"/>
        <w:rPr>
          <w:rFonts w:eastAsia="Times New Roman" w:cstheme="minorHAnsi"/>
          <w:color w:val="000000"/>
          <w:lang w:eastAsia="en-ID"/>
        </w:rPr>
      </w:pPr>
    </w:p>
    <w:p w14:paraId="05D0CBB3" w14:textId="77777777" w:rsidR="003331A9" w:rsidRDefault="0011114A" w:rsidP="003331A9">
      <w:pPr>
        <w:ind w:firstLine="720"/>
        <w:jc w:val="both"/>
        <w:rPr>
          <w:rFonts w:eastAsia="Times New Roman" w:cstheme="minorHAnsi"/>
          <w:color w:val="000000"/>
          <w:lang w:eastAsia="en-ID"/>
        </w:rPr>
      </w:pPr>
      <w:proofErr w:type="spellStart"/>
      <w:r>
        <w:rPr>
          <w:rFonts w:eastAsia="Times New Roman" w:cstheme="minorHAnsi"/>
          <w:color w:val="000000"/>
          <w:lang w:eastAsia="en-ID"/>
        </w:rPr>
        <w:lastRenderedPageBreak/>
        <w:t>Berdasarkan</w:t>
      </w:r>
      <w:proofErr w:type="spellEnd"/>
      <w:r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en-ID"/>
        </w:rPr>
        <w:t>tabel</w:t>
      </w:r>
      <w:proofErr w:type="spellEnd"/>
      <w:r>
        <w:rPr>
          <w:rFonts w:eastAsia="Times New Roman" w:cstheme="minorHAnsi"/>
          <w:color w:val="000000"/>
          <w:lang w:eastAsia="en-ID"/>
        </w:rPr>
        <w:t xml:space="preserve"> 1 </w:t>
      </w:r>
      <w:proofErr w:type="spellStart"/>
      <w:r>
        <w:rPr>
          <w:rFonts w:eastAsia="Times New Roman" w:cstheme="minorHAnsi"/>
          <w:color w:val="000000"/>
          <w:lang w:eastAsia="en-ID"/>
        </w:rPr>
        <w:t>kepuas</w:t>
      </w:r>
      <w:r w:rsidR="003B7864">
        <w:rPr>
          <w:rFonts w:eastAsia="Times New Roman" w:cstheme="minorHAnsi"/>
          <w:color w:val="000000"/>
          <w:lang w:eastAsia="en-ID"/>
        </w:rPr>
        <w:t>an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mengenai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sarana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dan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prasarana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adalah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puas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,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beberapa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pertanyaan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yang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mendapatkan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hasil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yang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tidak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puas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terhadap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fasilitas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umum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merupakan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tempat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ibadah dan area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parkir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. Hal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ini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diakibatkan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karena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adanya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renovasi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pada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tempat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ibadah yang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masih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B7864">
        <w:rPr>
          <w:rFonts w:eastAsia="Times New Roman" w:cstheme="minorHAnsi"/>
          <w:color w:val="000000"/>
          <w:lang w:eastAsia="en-ID"/>
        </w:rPr>
        <w:t>berlangsung</w:t>
      </w:r>
      <w:proofErr w:type="spellEnd"/>
      <w:r w:rsidR="003B7864">
        <w:rPr>
          <w:rFonts w:eastAsia="Times New Roman" w:cstheme="minorHAnsi"/>
          <w:color w:val="000000"/>
          <w:lang w:eastAsia="en-ID"/>
        </w:rPr>
        <w:t>.</w:t>
      </w:r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Sedangkan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area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parkir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tidak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seiring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dengan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penambahan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jumlah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kendaraan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. Hal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ini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dikarenakan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a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danya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penambahan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terhadap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mahasiswa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baru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sehingga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area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parkir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yang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ada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tidak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mencukupi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dengan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kendaraaan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yang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ada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. Hal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ini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menjadi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perhatian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bagi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pihak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Politeknik Negeri Padang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untuk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menambah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 xml:space="preserve"> area </w:t>
      </w:r>
      <w:proofErr w:type="spellStart"/>
      <w:r w:rsidR="00F11339">
        <w:rPr>
          <w:rFonts w:eastAsia="Times New Roman" w:cstheme="minorHAnsi"/>
          <w:color w:val="000000"/>
          <w:lang w:eastAsia="en-ID"/>
        </w:rPr>
        <w:t>parkir</w:t>
      </w:r>
      <w:proofErr w:type="spellEnd"/>
      <w:r w:rsidR="00F11339">
        <w:rPr>
          <w:rFonts w:eastAsia="Times New Roman" w:cstheme="minorHAnsi"/>
          <w:color w:val="000000"/>
          <w:lang w:eastAsia="en-ID"/>
        </w:rPr>
        <w:t>.</w:t>
      </w:r>
    </w:p>
    <w:p w14:paraId="77F86ACA" w14:textId="4317DEF2" w:rsidR="00F11339" w:rsidRPr="003331A9" w:rsidRDefault="00F11339" w:rsidP="003331A9">
      <w:pPr>
        <w:ind w:firstLine="720"/>
        <w:jc w:val="both"/>
        <w:rPr>
          <w:rFonts w:eastAsia="Times New Roman" w:cstheme="minorHAnsi"/>
          <w:color w:val="000000"/>
          <w:lang w:eastAsia="en-ID"/>
        </w:rPr>
      </w:pPr>
      <w:proofErr w:type="spellStart"/>
      <w:r>
        <w:rPr>
          <w:rFonts w:eastAsia="Times New Roman" w:cstheme="minorHAnsi"/>
          <w:color w:val="000000"/>
          <w:lang w:eastAsia="en-ID"/>
        </w:rPr>
        <w:t>Pengguna</w:t>
      </w:r>
      <w:proofErr w:type="spellEnd"/>
      <w:r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en-ID"/>
        </w:rPr>
        <w:t>merasa</w:t>
      </w:r>
      <w:proofErr w:type="spellEnd"/>
      <w:r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en-ID"/>
        </w:rPr>
        <w:t>puas</w:t>
      </w:r>
      <w:proofErr w:type="spellEnd"/>
      <w:r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secara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keseluruhan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mengenai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keadaan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ruang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kelas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dan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labor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. Politeknik Negeri Padang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selalu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berupaya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untuk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meningkatkan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sarana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dan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prasarana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yang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telah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dimiliki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. Gedung yang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ada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di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Jurusan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Akuntansi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nyaman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digunakan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karena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fasilitas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 xml:space="preserve"> yang </w:t>
      </w:r>
      <w:proofErr w:type="spellStart"/>
      <w:r w:rsidR="00360DD5">
        <w:rPr>
          <w:rFonts w:eastAsia="Times New Roman" w:cstheme="minorHAnsi"/>
          <w:color w:val="000000"/>
          <w:lang w:eastAsia="en-ID"/>
        </w:rPr>
        <w:t>mencukupi</w:t>
      </w:r>
      <w:proofErr w:type="spellEnd"/>
      <w:r w:rsidR="00360DD5">
        <w:rPr>
          <w:rFonts w:eastAsia="Times New Roman" w:cstheme="minorHAnsi"/>
          <w:color w:val="000000"/>
          <w:lang w:eastAsia="en-ID"/>
        </w:rPr>
        <w:t>.</w:t>
      </w:r>
    </w:p>
    <w:sectPr w:rsidR="00F11339" w:rsidRPr="00333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7F"/>
    <w:rsid w:val="0011114A"/>
    <w:rsid w:val="00174E5E"/>
    <w:rsid w:val="003331A9"/>
    <w:rsid w:val="00360DD5"/>
    <w:rsid w:val="003B7864"/>
    <w:rsid w:val="00550D69"/>
    <w:rsid w:val="006D5B7F"/>
    <w:rsid w:val="00BB24D8"/>
    <w:rsid w:val="00F1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2F5E"/>
  <w15:chartTrackingRefBased/>
  <w15:docId w15:val="{3F23B581-5C63-44F0-A0AE-163715AB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D5B7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D5B7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Politeknik Negeri Padang</dc:creator>
  <cp:keywords/>
  <dc:description/>
  <cp:lastModifiedBy>Politeknik Negeri Padang</cp:lastModifiedBy>
  <cp:revision>1</cp:revision>
  <dcterms:created xsi:type="dcterms:W3CDTF">2021-12-07T04:19:00Z</dcterms:created>
  <dcterms:modified xsi:type="dcterms:W3CDTF">2021-12-07T08:09:00Z</dcterms:modified>
</cp:coreProperties>
</file>